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527" w:rsidRPr="006944F7" w:rsidRDefault="00994F2B" w:rsidP="006A0527">
      <w:pPr>
        <w:jc w:val="center"/>
        <w:rPr>
          <w:rFonts w:ascii="Times New Roman" w:hAnsi="Times New Roman"/>
          <w:b/>
          <w:sz w:val="28"/>
          <w:szCs w:val="28"/>
          <w:lang w:val="kk-KZ"/>
        </w:rPr>
      </w:pPr>
      <w:r w:rsidRPr="00752E51">
        <w:rPr>
          <w:rFonts w:ascii="Times New Roman" w:hAnsi="Times New Roman"/>
          <w:b/>
          <w:sz w:val="28"/>
          <w:szCs w:val="28"/>
          <w:lang w:val="kk-KZ"/>
        </w:rPr>
        <w:t>«</w:t>
      </w:r>
      <w:r w:rsidR="00752E51" w:rsidRPr="00752E51">
        <w:rPr>
          <w:rFonts w:ascii="Times New Roman" w:eastAsia="Consolas" w:hAnsi="Times New Roman"/>
          <w:b/>
          <w:sz w:val="28"/>
          <w:szCs w:val="28"/>
          <w:lang w:val="kk-KZ"/>
        </w:rPr>
        <w:t>Цифрлық активтердің құнын және олардың түрлерінің тізбесін айқындау, жариялау тәртібін айқындау туралы</w:t>
      </w:r>
      <w:r w:rsidRPr="00752E51">
        <w:rPr>
          <w:rFonts w:ascii="Times New Roman" w:hAnsi="Times New Roman"/>
          <w:b/>
          <w:sz w:val="28"/>
          <w:szCs w:val="28"/>
          <w:lang w:val="kk-KZ"/>
        </w:rPr>
        <w:t>»</w:t>
      </w:r>
      <w:r w:rsidRPr="006944F7">
        <w:rPr>
          <w:rFonts w:ascii="Times New Roman" w:hAnsi="Times New Roman"/>
          <w:b/>
          <w:sz w:val="28"/>
          <w:szCs w:val="28"/>
          <w:lang w:val="kk-KZ"/>
        </w:rPr>
        <w:t xml:space="preserve"> </w:t>
      </w:r>
      <w:r w:rsidR="00682E76" w:rsidRPr="006944F7">
        <w:rPr>
          <w:rFonts w:ascii="Times New Roman" w:hAnsi="Times New Roman"/>
          <w:b/>
          <w:sz w:val="28"/>
          <w:szCs w:val="28"/>
          <w:lang w:val="kk-KZ"/>
        </w:rPr>
        <w:t xml:space="preserve">бұйрық </w:t>
      </w:r>
      <w:r w:rsidR="006A0527" w:rsidRPr="006944F7">
        <w:rPr>
          <w:rFonts w:ascii="Times New Roman" w:hAnsi="Times New Roman"/>
          <w:b/>
          <w:sz w:val="28"/>
          <w:szCs w:val="28"/>
          <w:lang w:val="kk-KZ"/>
        </w:rPr>
        <w:t>жобасын қабылдаудың ықтимал қоғамдық-саяси, құқықтық,</w:t>
      </w:r>
      <w:r w:rsidR="00682E76" w:rsidRPr="006944F7">
        <w:rPr>
          <w:rFonts w:ascii="Times New Roman" w:hAnsi="Times New Roman"/>
          <w:b/>
          <w:sz w:val="28"/>
          <w:szCs w:val="28"/>
          <w:lang w:val="kk-KZ"/>
        </w:rPr>
        <w:t xml:space="preserve"> </w:t>
      </w:r>
      <w:r w:rsidR="006A0527" w:rsidRPr="006944F7">
        <w:rPr>
          <w:rFonts w:ascii="Times New Roman" w:hAnsi="Times New Roman"/>
          <w:b/>
          <w:sz w:val="28"/>
          <w:szCs w:val="28"/>
          <w:lang w:val="kk-KZ"/>
        </w:rPr>
        <w:t>ақпараттық және өзге де салдарларын</w:t>
      </w:r>
      <w:r w:rsidR="00752E51">
        <w:rPr>
          <w:rFonts w:ascii="Times New Roman" w:hAnsi="Times New Roman"/>
          <w:b/>
          <w:sz w:val="28"/>
          <w:szCs w:val="28"/>
          <w:lang w:val="kk-KZ"/>
        </w:rPr>
        <w:t xml:space="preserve"> </w:t>
      </w:r>
      <w:r w:rsidR="006A0527" w:rsidRPr="006944F7">
        <w:rPr>
          <w:rFonts w:ascii="Times New Roman" w:hAnsi="Times New Roman"/>
          <w:b/>
          <w:sz w:val="28"/>
          <w:szCs w:val="28"/>
          <w:lang w:val="kk-KZ"/>
        </w:rPr>
        <w:t>БАҒАЛАУ</w:t>
      </w:r>
    </w:p>
    <w:p w:rsidR="00994F2B" w:rsidRDefault="00994F2B" w:rsidP="00994F2B">
      <w:pPr>
        <w:jc w:val="center"/>
        <w:rPr>
          <w:rFonts w:ascii="Times New Roman" w:hAnsi="Times New Roman"/>
          <w:sz w:val="28"/>
          <w:szCs w:val="28"/>
          <w:lang w:val="kk-KZ"/>
        </w:rPr>
      </w:pPr>
      <w:r w:rsidRPr="009B13E3">
        <w:rPr>
          <w:rFonts w:ascii="Times New Roman" w:hAnsi="Times New Roman"/>
          <w:sz w:val="28"/>
          <w:szCs w:val="28"/>
          <w:lang w:val="kk-KZ"/>
        </w:rPr>
        <w:t>(бұдан әрі</w:t>
      </w:r>
      <w:r>
        <w:rPr>
          <w:rFonts w:ascii="Times New Roman" w:hAnsi="Times New Roman"/>
          <w:sz w:val="28"/>
          <w:szCs w:val="28"/>
          <w:lang w:val="kk-KZ"/>
        </w:rPr>
        <w:t xml:space="preserve"> </w:t>
      </w:r>
      <w:r w:rsidR="006A0527">
        <w:rPr>
          <w:rFonts w:ascii="Times New Roman" w:hAnsi="Times New Roman"/>
          <w:sz w:val="28"/>
          <w:szCs w:val="28"/>
          <w:lang w:val="kk-KZ"/>
        </w:rPr>
        <w:t>–</w:t>
      </w:r>
      <w:r>
        <w:rPr>
          <w:rFonts w:ascii="Times New Roman" w:hAnsi="Times New Roman"/>
          <w:sz w:val="28"/>
          <w:szCs w:val="28"/>
          <w:lang w:val="kk-KZ"/>
        </w:rPr>
        <w:t xml:space="preserve"> </w:t>
      </w:r>
      <w:r w:rsidRPr="009B13E3">
        <w:rPr>
          <w:rFonts w:ascii="Times New Roman" w:hAnsi="Times New Roman"/>
          <w:sz w:val="28"/>
          <w:szCs w:val="28"/>
          <w:lang w:val="kk-KZ"/>
        </w:rPr>
        <w:t>Жоба)</w:t>
      </w:r>
    </w:p>
    <w:p w:rsidR="00994F2B" w:rsidRPr="009F55D8" w:rsidRDefault="00994F2B" w:rsidP="00994F2B">
      <w:pPr>
        <w:tabs>
          <w:tab w:val="left" w:pos="1134"/>
        </w:tabs>
        <w:ind w:firstLine="709"/>
        <w:jc w:val="both"/>
        <w:rPr>
          <w:rFonts w:ascii="Times New Roman" w:hAnsi="Times New Roman"/>
          <w:b/>
          <w:sz w:val="28"/>
          <w:szCs w:val="28"/>
          <w:lang w:val="kk-KZ"/>
        </w:rPr>
      </w:pP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Әлеуметтік-экономикалық салдарларды бағалау:</w:t>
      </w:r>
    </w:p>
    <w:p w:rsidR="00B67263"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 xml:space="preserve">Жоба халықтың кең тобының мүдделеріне әсер ететін немесе қоғамдық-саяси пікірталастарды тудыратын өзгерістерді көздемейді. </w:t>
      </w:r>
      <w:r w:rsidR="0054641F">
        <w:rPr>
          <w:rFonts w:ascii="Times New Roman" w:hAnsi="Times New Roman"/>
          <w:sz w:val="28"/>
          <w:szCs w:val="28"/>
          <w:lang w:val="kk-KZ"/>
        </w:rPr>
        <w:t xml:space="preserve">Жоба </w:t>
      </w:r>
      <w:r w:rsidRPr="00752E51">
        <w:rPr>
          <w:rFonts w:ascii="Times New Roman" w:hAnsi="Times New Roman"/>
          <w:sz w:val="28"/>
          <w:szCs w:val="28"/>
          <w:lang w:val="kk-KZ"/>
        </w:rPr>
        <w:t>экономикалық қызметтің ашықтығын арттыруға, салық тәртібін нығайтуға және әділ салық салуды қамтамасыз етуге оң әсер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Жобаның қабылдануы қоғамда әлеуметтік шиеленіс немесе наразылық тудырмайды. Керісінше, ол салықтық әкімшілендіру процесіне және бюджетке салықтар мен басқа да міндетті төлемдерді төлеуден жалтаратын тұлғаларға қатысты уақтылы шаралар қабылдауға бағытталған, бұл мемлекеттік институттарға деген сенімді нығайтуға және әділ бәсекелестікті қамтамасыз етуге ықпал етеді.</w:t>
      </w:r>
    </w:p>
    <w:p w:rsidR="00752E51" w:rsidRPr="00752E51" w:rsidRDefault="00752E51" w:rsidP="00752E51">
      <w:pPr>
        <w:pStyle w:val="a4"/>
        <w:numPr>
          <w:ilvl w:val="0"/>
          <w:numId w:val="1"/>
        </w:numPr>
        <w:tabs>
          <w:tab w:val="left" w:pos="1134"/>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Құқықтық салдарларды бағалау:</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Қазақстан Республикасы Салық кодексінің</w:t>
      </w:r>
      <w:r w:rsidR="00FC7684">
        <w:rPr>
          <w:rFonts w:ascii="Times New Roman" w:hAnsi="Times New Roman"/>
          <w:sz w:val="28"/>
          <w:szCs w:val="28"/>
          <w:lang w:val="kk-KZ"/>
        </w:rPr>
        <w:t xml:space="preserve"> (бұдан әрі – Салық кодексі) </w:t>
      </w:r>
      <w:r w:rsidRPr="00752E51">
        <w:rPr>
          <w:rFonts w:ascii="Times New Roman" w:hAnsi="Times New Roman"/>
          <w:sz w:val="28"/>
          <w:szCs w:val="28"/>
          <w:lang w:val="kk-KZ"/>
        </w:rPr>
        <w:t xml:space="preserve">325-бабының 4-тармағының ережелерін іске асыру мақсатында </w:t>
      </w:r>
      <w:r w:rsidR="0054641F">
        <w:rPr>
          <w:rFonts w:ascii="Times New Roman" w:hAnsi="Times New Roman"/>
          <w:sz w:val="28"/>
          <w:szCs w:val="28"/>
          <w:lang w:val="kk-KZ"/>
        </w:rPr>
        <w:t xml:space="preserve">және цифрлық активтер бойынша табысты есептеу үшін </w:t>
      </w:r>
      <w:r w:rsidRPr="00752E51">
        <w:rPr>
          <w:rFonts w:ascii="Times New Roman" w:hAnsi="Times New Roman"/>
          <w:sz w:val="28"/>
          <w:szCs w:val="28"/>
          <w:lang w:val="kk-KZ"/>
        </w:rPr>
        <w:t xml:space="preserve">әзірленген. Тиісінше, </w:t>
      </w:r>
      <w:r w:rsidR="0054641F">
        <w:rPr>
          <w:rFonts w:ascii="Times New Roman" w:hAnsi="Times New Roman"/>
          <w:sz w:val="28"/>
          <w:szCs w:val="28"/>
          <w:lang w:val="kk-KZ"/>
        </w:rPr>
        <w:t>Жоба</w:t>
      </w:r>
      <w:r w:rsidRPr="00752E51">
        <w:rPr>
          <w:rFonts w:ascii="Times New Roman" w:hAnsi="Times New Roman"/>
          <w:sz w:val="28"/>
          <w:szCs w:val="28"/>
          <w:lang w:val="kk-KZ"/>
        </w:rPr>
        <w:t xml:space="preserve"> </w:t>
      </w:r>
      <w:r w:rsidR="00FC7684" w:rsidRPr="00752E51">
        <w:rPr>
          <w:rFonts w:ascii="Times New Roman" w:hAnsi="Times New Roman"/>
          <w:sz w:val="28"/>
          <w:szCs w:val="28"/>
          <w:lang w:val="kk-KZ"/>
        </w:rPr>
        <w:t xml:space="preserve">Қазақстан Республикасы </w:t>
      </w:r>
      <w:r w:rsidRPr="00752E51">
        <w:rPr>
          <w:rFonts w:ascii="Times New Roman" w:hAnsi="Times New Roman"/>
          <w:sz w:val="28"/>
          <w:szCs w:val="28"/>
          <w:lang w:val="kk-KZ"/>
        </w:rPr>
        <w:t>Конституцияға және қолданыстағы өзге де нормативтік құқықтық актілерге қайшы келмейді.</w:t>
      </w:r>
      <w:r w:rsidR="00FC7684">
        <w:rPr>
          <w:rFonts w:ascii="Times New Roman" w:hAnsi="Times New Roman"/>
          <w:sz w:val="28"/>
          <w:szCs w:val="28"/>
          <w:lang w:val="kk-KZ"/>
        </w:rPr>
        <w:t xml:space="preserve"> </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 xml:space="preserve">Ұсынылып отырған құқықтық реттеу қажетті және негізделген болып табылады, себебі </w:t>
      </w:r>
      <w:r w:rsidR="00C2327B">
        <w:rPr>
          <w:rFonts w:ascii="Times New Roman" w:hAnsi="Times New Roman"/>
          <w:sz w:val="28"/>
          <w:szCs w:val="28"/>
          <w:lang w:val="kk-KZ"/>
        </w:rPr>
        <w:t>Жоба</w:t>
      </w:r>
      <w:bookmarkStart w:id="0" w:name="_GoBack"/>
      <w:bookmarkEnd w:id="0"/>
      <w:r w:rsidRPr="00752E51">
        <w:rPr>
          <w:rFonts w:ascii="Times New Roman" w:hAnsi="Times New Roman"/>
          <w:sz w:val="28"/>
          <w:szCs w:val="28"/>
          <w:lang w:val="kk-KZ"/>
        </w:rPr>
        <w:t xml:space="preserve"> цифрлық активтердің құнын және олардың түрлерінің тізбесін айқындау мен жариялау қағидаларын белгілейді. Бұл әкімшілік тәжірибеде құқықтық анықтықты және бірізділікті қамтамасыз етуге ықпал етеді.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салық төлеушілер үшін жаңа міндеттемелер немесе шектеулер енгізбейді, тек Салық кодексінде көзделген процесті реттейді.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Осылайша, жоба заңнаманы қолдануда құқықтық анықтықты және болжамдылықты нығайтуға ықпал етеді.</w:t>
      </w:r>
    </w:p>
    <w:p w:rsidR="00752E51" w:rsidRPr="00752E51" w:rsidRDefault="00752E51" w:rsidP="00752E51">
      <w:pPr>
        <w:pStyle w:val="a4"/>
        <w:numPr>
          <w:ilvl w:val="0"/>
          <w:numId w:val="1"/>
        </w:numPr>
        <w:tabs>
          <w:tab w:val="left" w:pos="993"/>
        </w:tabs>
        <w:ind w:left="0" w:firstLine="709"/>
        <w:jc w:val="both"/>
        <w:rPr>
          <w:rFonts w:ascii="Times New Roman" w:hAnsi="Times New Roman"/>
          <w:b/>
          <w:sz w:val="28"/>
          <w:szCs w:val="28"/>
          <w:lang w:val="kk-KZ"/>
        </w:rPr>
      </w:pPr>
      <w:r w:rsidRPr="00752E51">
        <w:rPr>
          <w:rFonts w:ascii="Times New Roman" w:hAnsi="Times New Roman"/>
          <w:b/>
          <w:sz w:val="28"/>
          <w:szCs w:val="28"/>
          <w:lang w:val="kk-KZ"/>
        </w:rPr>
        <w:t>Ақпараттық салдарларды бағалау:</w:t>
      </w:r>
    </w:p>
    <w:p w:rsidR="003F527E" w:rsidRDefault="003F527E" w:rsidP="003F527E">
      <w:pPr>
        <w:tabs>
          <w:tab w:val="left" w:pos="1134"/>
        </w:tabs>
        <w:jc w:val="both"/>
        <w:rPr>
          <w:rFonts w:ascii="Times New Roman" w:hAnsi="Times New Roman"/>
          <w:sz w:val="28"/>
          <w:szCs w:val="28"/>
          <w:lang w:val="kk-KZ"/>
        </w:rPr>
      </w:pPr>
      <w:r>
        <w:rPr>
          <w:rFonts w:ascii="Times New Roman" w:hAnsi="Times New Roman"/>
          <w:sz w:val="28"/>
          <w:szCs w:val="28"/>
          <w:lang w:val="kk-KZ"/>
        </w:rPr>
        <w:t xml:space="preserve">          </w:t>
      </w:r>
      <w:r w:rsidRPr="003F527E">
        <w:rPr>
          <w:rFonts w:ascii="Times New Roman" w:hAnsi="Times New Roman"/>
          <w:sz w:val="28"/>
          <w:szCs w:val="28"/>
          <w:lang w:val="kk-KZ"/>
        </w:rPr>
        <w:t>Бұйрық жобасының ақпараттық салдары орташа деңг</w:t>
      </w:r>
      <w:r w:rsidR="00CE0047">
        <w:rPr>
          <w:rFonts w:ascii="Times New Roman" w:hAnsi="Times New Roman"/>
          <w:sz w:val="28"/>
          <w:szCs w:val="28"/>
          <w:lang w:val="kk-KZ"/>
        </w:rPr>
        <w:t>ейде деп бағаланады, себебі ол ц</w:t>
      </w:r>
      <w:r w:rsidRPr="003F527E">
        <w:rPr>
          <w:rFonts w:ascii="Times New Roman" w:hAnsi="Times New Roman"/>
          <w:sz w:val="28"/>
          <w:szCs w:val="28"/>
          <w:lang w:val="kk-KZ"/>
        </w:rPr>
        <w:t xml:space="preserve">ифрлық активтердің құнын және олардың түрлерінің тізбесін айқындау мен жариялау қағидаларын </w:t>
      </w:r>
      <w:r w:rsidR="00CE0047">
        <w:rPr>
          <w:rFonts w:ascii="Times New Roman" w:hAnsi="Times New Roman"/>
          <w:sz w:val="28"/>
          <w:szCs w:val="28"/>
          <w:lang w:val="kk-KZ"/>
        </w:rPr>
        <w:t>реттейді</w:t>
      </w:r>
      <w:r w:rsidRPr="003F527E">
        <w:rPr>
          <w:rFonts w:ascii="Times New Roman" w:hAnsi="Times New Roman"/>
          <w:sz w:val="28"/>
          <w:szCs w:val="28"/>
          <w:lang w:val="kk-KZ"/>
        </w:rPr>
        <w:t>, бұл өз кезегінде көлеңкелі экономиканың үлесін қысқартуға алып келеді.</w:t>
      </w:r>
    </w:p>
    <w:p w:rsidR="00752E51" w:rsidRPr="003F527E" w:rsidRDefault="00752E51" w:rsidP="003F527E">
      <w:pPr>
        <w:pStyle w:val="a4"/>
        <w:numPr>
          <w:ilvl w:val="0"/>
          <w:numId w:val="1"/>
        </w:numPr>
        <w:tabs>
          <w:tab w:val="left" w:pos="1134"/>
        </w:tabs>
        <w:ind w:left="0" w:firstLine="709"/>
        <w:jc w:val="both"/>
        <w:rPr>
          <w:rFonts w:ascii="Times New Roman" w:hAnsi="Times New Roman"/>
          <w:sz w:val="28"/>
          <w:szCs w:val="28"/>
          <w:lang w:val="kk-KZ"/>
        </w:rPr>
      </w:pPr>
      <w:r w:rsidRPr="003F527E">
        <w:rPr>
          <w:rFonts w:ascii="Times New Roman" w:hAnsi="Times New Roman"/>
          <w:b/>
          <w:sz w:val="28"/>
          <w:szCs w:val="28"/>
          <w:lang w:val="kk-KZ"/>
        </w:rPr>
        <w:t>Өзге салдарларды бағалау:</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Жоба республикалық бюджеттен қосымша шығындарды талап етпейді, кәсіпкерлік ортаға, бәсекелестікке немесе экологиялық жағдайға теріс әсер етпейді.</w:t>
      </w:r>
    </w:p>
    <w:p w:rsidR="00752E51"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Өзгерістер нормаларды техникалық нақтылауға бағытталған және ұйымдастырушылық немесе институционалдық реформаларды көздемейді.</w:t>
      </w:r>
    </w:p>
    <w:p w:rsidR="0073589F" w:rsidRDefault="00752E51" w:rsidP="00752E51">
      <w:pPr>
        <w:ind w:firstLine="709"/>
        <w:jc w:val="both"/>
        <w:rPr>
          <w:rFonts w:ascii="Times New Roman" w:hAnsi="Times New Roman"/>
          <w:sz w:val="28"/>
          <w:szCs w:val="28"/>
          <w:lang w:val="kk-KZ"/>
        </w:rPr>
      </w:pPr>
      <w:r w:rsidRPr="00752E51">
        <w:rPr>
          <w:rFonts w:ascii="Times New Roman" w:hAnsi="Times New Roman"/>
          <w:sz w:val="28"/>
          <w:szCs w:val="28"/>
          <w:lang w:val="kk-KZ"/>
        </w:rPr>
        <w:t>Басқа салдарлар болжанбайды.</w:t>
      </w:r>
    </w:p>
    <w:p w:rsidR="00752E51" w:rsidRDefault="00752E51" w:rsidP="00752E51">
      <w:pPr>
        <w:ind w:firstLine="709"/>
        <w:jc w:val="both"/>
        <w:rPr>
          <w:rFonts w:ascii="Times New Roman" w:hAnsi="Times New Roman"/>
          <w:b/>
          <w:sz w:val="28"/>
          <w:szCs w:val="28"/>
          <w:lang w:val="kk-KZ"/>
        </w:rPr>
      </w:pPr>
    </w:p>
    <w:p w:rsidR="00994F2B" w:rsidRPr="00752E51" w:rsidRDefault="00994F2B" w:rsidP="0073589F">
      <w:pPr>
        <w:ind w:firstLine="567"/>
        <w:jc w:val="both"/>
        <w:rPr>
          <w:lang w:val="kk-KZ"/>
        </w:rPr>
      </w:pPr>
      <w:r w:rsidRPr="00752E51">
        <w:rPr>
          <w:rFonts w:ascii="Times New Roman" w:hAnsi="Times New Roman"/>
          <w:b/>
          <w:sz w:val="28"/>
          <w:szCs w:val="28"/>
          <w:lang w:val="kk-KZ"/>
        </w:rPr>
        <w:t>Министр                                                                                         М. Такиев</w:t>
      </w:r>
    </w:p>
    <w:sectPr w:rsidR="00994F2B" w:rsidRPr="00752E51" w:rsidSect="00752E51">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B477C"/>
    <w:multiLevelType w:val="hybridMultilevel"/>
    <w:tmpl w:val="63AE8142"/>
    <w:lvl w:ilvl="0" w:tplc="605ABCA6">
      <w:start w:val="1"/>
      <w:numFmt w:val="decimal"/>
      <w:lvlText w:val="%1."/>
      <w:lvlJc w:val="left"/>
      <w:pPr>
        <w:ind w:left="489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77983"/>
    <w:rsid w:val="00194D2D"/>
    <w:rsid w:val="00295AE1"/>
    <w:rsid w:val="002E557E"/>
    <w:rsid w:val="00396194"/>
    <w:rsid w:val="00396E5A"/>
    <w:rsid w:val="003E3E0A"/>
    <w:rsid w:val="003F527E"/>
    <w:rsid w:val="00481AAC"/>
    <w:rsid w:val="0054641F"/>
    <w:rsid w:val="00682E76"/>
    <w:rsid w:val="006944F7"/>
    <w:rsid w:val="006A0527"/>
    <w:rsid w:val="0073589F"/>
    <w:rsid w:val="00752E51"/>
    <w:rsid w:val="00754D65"/>
    <w:rsid w:val="00994F2B"/>
    <w:rsid w:val="00B67263"/>
    <w:rsid w:val="00B95281"/>
    <w:rsid w:val="00C2327B"/>
    <w:rsid w:val="00C618F8"/>
    <w:rsid w:val="00CE0047"/>
    <w:rsid w:val="00D724DD"/>
    <w:rsid w:val="00D939C9"/>
    <w:rsid w:val="00ED6A30"/>
    <w:rsid w:val="00FC7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727D79"/>
  <w15:docId w15:val="{70D6108F-96CB-4CD5-8BD0-2140481E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94D2D"/>
    <w:pPr>
      <w:spacing w:after="0" w:line="240" w:lineRule="auto"/>
    </w:pPr>
    <w:rPr>
      <w:rFonts w:ascii="Calibri" w:eastAsia="Times New Roman" w:hAnsi="Calibri" w:cs="Times New Roman"/>
      <w:lang w:eastAsia="ru-RU"/>
    </w:rPr>
  </w:style>
  <w:style w:type="paragraph" w:styleId="a4">
    <w:name w:val="List Paragraph"/>
    <w:basedOn w:val="a"/>
    <w:uiPriority w:val="34"/>
    <w:qFormat/>
    <w:rsid w:val="006944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9046">
      <w:bodyDiv w:val="1"/>
      <w:marLeft w:val="0"/>
      <w:marRight w:val="0"/>
      <w:marTop w:val="0"/>
      <w:marBottom w:val="0"/>
      <w:divBdr>
        <w:top w:val="none" w:sz="0" w:space="0" w:color="auto"/>
        <w:left w:val="none" w:sz="0" w:space="0" w:color="auto"/>
        <w:bottom w:val="none" w:sz="0" w:space="0" w:color="auto"/>
        <w:right w:val="none" w:sz="0" w:space="0" w:color="auto"/>
      </w:divBdr>
    </w:div>
    <w:div w:id="1578435546">
      <w:bodyDiv w:val="1"/>
      <w:marLeft w:val="0"/>
      <w:marRight w:val="0"/>
      <w:marTop w:val="0"/>
      <w:marBottom w:val="0"/>
      <w:divBdr>
        <w:top w:val="none" w:sz="0" w:space="0" w:color="auto"/>
        <w:left w:val="none" w:sz="0" w:space="0" w:color="auto"/>
        <w:bottom w:val="none" w:sz="0" w:space="0" w:color="auto"/>
        <w:right w:val="none" w:sz="0" w:space="0" w:color="auto"/>
      </w:divBdr>
      <w:divsChild>
        <w:div w:id="838740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TotalTime>
  <Pages>1</Pages>
  <Words>369</Words>
  <Characters>2108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Галия Кадыржановна</dc:creator>
  <cp:lastModifiedBy>Каптагаев Ильяс Сарсембаевич</cp:lastModifiedBy>
  <cp:revision>24</cp:revision>
  <dcterms:created xsi:type="dcterms:W3CDTF">2025-07-11T09:44:00Z</dcterms:created>
  <dcterms:modified xsi:type="dcterms:W3CDTF">2025-08-11T05:07:00Z</dcterms:modified>
</cp:coreProperties>
</file>